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6" w:rsidRPr="00F100B6" w:rsidRDefault="00F100B6" w:rsidP="00F100B6">
      <w:pPr>
        <w:shd w:val="clear" w:color="auto" w:fill="FFFFFF"/>
        <w:spacing w:before="100" w:beforeAutospacing="1" w:after="100" w:afterAutospacing="1" w:line="270" w:lineRule="atLeast"/>
        <w:outlineLvl w:val="0"/>
        <w:rPr>
          <w:rFonts w:ascii="Arial" w:eastAsia="Times New Roman" w:hAnsi="Arial" w:cs="Arial"/>
          <w:b/>
          <w:bCs/>
          <w:color w:val="02669B"/>
          <w:kern w:val="36"/>
          <w:sz w:val="21"/>
          <w:szCs w:val="21"/>
        </w:rPr>
      </w:pPr>
      <w:r w:rsidRPr="00F100B6">
        <w:rPr>
          <w:rFonts w:ascii="Arial" w:eastAsia="Times New Roman" w:hAnsi="Arial" w:cs="Arial"/>
          <w:b/>
          <w:bCs/>
          <w:color w:val="02669B"/>
          <w:kern w:val="36"/>
          <w:sz w:val="21"/>
          <w:szCs w:val="21"/>
        </w:rPr>
        <w:t>Literary Techniques and Figures of Speech</w:t>
      </w:r>
    </w:p>
    <w:p w:rsidR="00F100B6" w:rsidRPr="00F100B6" w:rsidRDefault="00F100B6" w:rsidP="00F100B6">
      <w:pPr>
        <w:shd w:val="clear" w:color="auto" w:fill="FFFFFF"/>
        <w:spacing w:before="45" w:after="75" w:line="270" w:lineRule="atLeast"/>
        <w:rPr>
          <w:rFonts w:ascii="Arial" w:eastAsia="Times New Roman" w:hAnsi="Arial" w:cs="Arial"/>
          <w:color w:val="57585B"/>
          <w:sz w:val="18"/>
          <w:szCs w:val="18"/>
        </w:rPr>
      </w:pPr>
      <w:r>
        <w:rPr>
          <w:rFonts w:ascii="Arial" w:eastAsia="Times New Roman" w:hAnsi="Arial" w:cs="Arial"/>
          <w:color w:val="57585B"/>
          <w:sz w:val="18"/>
          <w:szCs w:val="18"/>
        </w:rPr>
        <w:t>R</w:t>
      </w:r>
      <w:r w:rsidRPr="00F100B6">
        <w:rPr>
          <w:rFonts w:ascii="Arial" w:eastAsia="Times New Roman" w:hAnsi="Arial" w:cs="Arial"/>
          <w:color w:val="57585B"/>
          <w:sz w:val="18"/>
          <w:szCs w:val="18"/>
        </w:rPr>
        <w:t xml:space="preserve">eading passages (both long and short) include questions about the authors’ use of </w:t>
      </w:r>
      <w:r w:rsidRPr="00F100B6">
        <w:rPr>
          <w:rFonts w:ascii="Arial" w:eastAsia="Times New Roman" w:hAnsi="Arial" w:cs="Arial"/>
          <w:b/>
          <w:bCs/>
          <w:color w:val="57585B"/>
          <w:sz w:val="18"/>
          <w:szCs w:val="18"/>
        </w:rPr>
        <w:t>literary techniques</w:t>
      </w:r>
      <w:r w:rsidRPr="00F100B6">
        <w:rPr>
          <w:rFonts w:ascii="Arial" w:eastAsia="Times New Roman" w:hAnsi="Arial" w:cs="Arial"/>
          <w:color w:val="57585B"/>
          <w:sz w:val="18"/>
          <w:szCs w:val="18"/>
        </w:rPr>
        <w:t xml:space="preserve"> and </w:t>
      </w:r>
      <w:r w:rsidRPr="00F100B6">
        <w:rPr>
          <w:rFonts w:ascii="Arial" w:eastAsia="Times New Roman" w:hAnsi="Arial" w:cs="Arial"/>
          <w:b/>
          <w:bCs/>
          <w:color w:val="57585B"/>
          <w:sz w:val="18"/>
          <w:szCs w:val="18"/>
        </w:rPr>
        <w:t>figures of speech</w:t>
      </w:r>
      <w:r w:rsidRPr="00F100B6">
        <w:rPr>
          <w:rFonts w:ascii="Arial" w:eastAsia="Times New Roman" w:hAnsi="Arial" w:cs="Arial"/>
          <w:color w:val="57585B"/>
          <w:sz w:val="18"/>
          <w:szCs w:val="18"/>
        </w:rPr>
        <w:t xml:space="preserve">—tools authors use to convey meaning or to lend depth and richness to their writing. </w:t>
      </w:r>
    </w:p>
    <w:p w:rsidR="00F100B6" w:rsidRDefault="00F100B6" w:rsidP="00F100B6">
      <w:pPr>
        <w:shd w:val="clear" w:color="auto" w:fill="FFFFFF"/>
        <w:spacing w:before="45" w:after="75" w:line="270" w:lineRule="atLeast"/>
        <w:rPr>
          <w:rFonts w:ascii="Arial" w:eastAsia="Times New Roman" w:hAnsi="Arial" w:cs="Arial"/>
          <w:b/>
          <w:bCs/>
          <w:color w:val="57585B"/>
          <w:sz w:val="18"/>
          <w:szCs w:val="18"/>
        </w:rPr>
      </w:pPr>
    </w:p>
    <w:p w:rsidR="00F100B6" w:rsidRPr="00F100B6" w:rsidRDefault="00F100B6" w:rsidP="00F100B6">
      <w:p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The following list contains 25 common li</w:t>
      </w:r>
      <w:r>
        <w:rPr>
          <w:rFonts w:ascii="Arial" w:eastAsia="Times New Roman" w:hAnsi="Arial" w:cs="Arial"/>
          <w:b/>
          <w:bCs/>
          <w:color w:val="57585B"/>
          <w:sz w:val="18"/>
          <w:szCs w:val="18"/>
        </w:rPr>
        <w:t>terary techniques and figures</w:t>
      </w:r>
      <w:bookmarkStart w:id="0" w:name="_GoBack"/>
      <w:bookmarkEnd w:id="0"/>
      <w:r w:rsidRPr="00F100B6">
        <w:rPr>
          <w:rFonts w:ascii="Arial" w:eastAsia="Times New Roman" w:hAnsi="Arial" w:cs="Arial"/>
          <w:b/>
          <w:bCs/>
          <w:color w:val="57585B"/>
          <w:sz w:val="18"/>
          <w:szCs w:val="18"/>
        </w:rPr>
        <w:t>:</w:t>
      </w:r>
      <w:r w:rsidRPr="00F100B6">
        <w:rPr>
          <w:rFonts w:ascii="Arial" w:eastAsia="Times New Roman" w:hAnsi="Arial" w:cs="Arial"/>
          <w:color w:val="57585B"/>
          <w:sz w:val="18"/>
          <w:szCs w:val="18"/>
        </w:rPr>
        <w:t xml:space="preserve"> </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Alliteration:</w:t>
      </w:r>
      <w:r w:rsidRPr="00F100B6">
        <w:rPr>
          <w:rFonts w:ascii="Arial" w:eastAsia="Times New Roman" w:hAnsi="Arial" w:cs="Arial"/>
          <w:color w:val="57585B"/>
          <w:sz w:val="18"/>
          <w:szCs w:val="18"/>
        </w:rPr>
        <w:t xml:space="preserve"> The repetition of similar sounds, usually consonants, at the beginning of words. For example, Robert Frost’s poem “Out, out—” contains the alliterative phrase “sweet-scented stuff.”</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Allusion:</w:t>
      </w:r>
      <w:r w:rsidRPr="00F100B6">
        <w:rPr>
          <w:rFonts w:ascii="Arial" w:eastAsia="Times New Roman" w:hAnsi="Arial" w:cs="Arial"/>
          <w:color w:val="57585B"/>
          <w:sz w:val="18"/>
          <w:szCs w:val="18"/>
        </w:rPr>
        <w:t xml:space="preserve"> A reference within a literary work to a historical, literary, or biblical character, place, or event. For example, the title of William Faulkner’s novel </w:t>
      </w:r>
      <w:r w:rsidRPr="00F100B6">
        <w:rPr>
          <w:rFonts w:ascii="Arial" w:eastAsia="Times New Roman" w:hAnsi="Arial" w:cs="Arial"/>
          <w:i/>
          <w:iCs/>
          <w:color w:val="57585B"/>
          <w:sz w:val="18"/>
          <w:szCs w:val="18"/>
        </w:rPr>
        <w:t>The Sound and the Fury</w:t>
      </w:r>
      <w:r w:rsidRPr="00F100B6">
        <w:rPr>
          <w:rFonts w:ascii="Arial" w:eastAsia="Times New Roman" w:hAnsi="Arial" w:cs="Arial"/>
          <w:color w:val="57585B"/>
          <w:sz w:val="18"/>
          <w:szCs w:val="18"/>
        </w:rPr>
        <w:t xml:space="preserve"> alludes to a line from Shakespeare’s </w:t>
      </w:r>
      <w:r w:rsidRPr="00F100B6">
        <w:rPr>
          <w:rFonts w:ascii="Arial" w:eastAsia="Times New Roman" w:hAnsi="Arial" w:cs="Arial"/>
          <w:i/>
          <w:iCs/>
          <w:color w:val="57585B"/>
          <w:sz w:val="18"/>
          <w:szCs w:val="18"/>
        </w:rPr>
        <w:t>Macbeth</w:t>
      </w:r>
      <w:r w:rsidRPr="00F100B6">
        <w:rPr>
          <w:rFonts w:ascii="Arial" w:eastAsia="Times New Roman" w:hAnsi="Arial" w:cs="Arial"/>
          <w:color w:val="57585B"/>
          <w:sz w:val="18"/>
          <w:szCs w:val="18"/>
        </w:rPr>
        <w:t>.</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Assonance:</w:t>
      </w:r>
      <w:r w:rsidRPr="00F100B6">
        <w:rPr>
          <w:rFonts w:ascii="Arial" w:eastAsia="Times New Roman" w:hAnsi="Arial" w:cs="Arial"/>
          <w:color w:val="57585B"/>
          <w:sz w:val="18"/>
          <w:szCs w:val="18"/>
        </w:rPr>
        <w:t xml:space="preserve"> The repetition of vowel sounds in a sequence of nearby words. For example, the line “The monster spoke in a low mellow tone” (from Alfred, Lord Tennyson’s poem “The </w:t>
      </w:r>
      <w:proofErr w:type="spellStart"/>
      <w:r w:rsidRPr="00F100B6">
        <w:rPr>
          <w:rFonts w:ascii="Arial" w:eastAsia="Times New Roman" w:hAnsi="Arial" w:cs="Arial"/>
          <w:color w:val="57585B"/>
          <w:sz w:val="18"/>
          <w:szCs w:val="18"/>
        </w:rPr>
        <w:t>Lotos</w:t>
      </w:r>
      <w:proofErr w:type="spellEnd"/>
      <w:r w:rsidRPr="00F100B6">
        <w:rPr>
          <w:rFonts w:ascii="Arial" w:eastAsia="Times New Roman" w:hAnsi="Arial" w:cs="Arial"/>
          <w:color w:val="57585B"/>
          <w:sz w:val="18"/>
          <w:szCs w:val="18"/>
        </w:rPr>
        <w:t>-Eaters”) contains assonance in its repetition of the “o” sound.</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Caricature:</w:t>
      </w:r>
      <w:r w:rsidRPr="00F100B6">
        <w:rPr>
          <w:rFonts w:ascii="Arial" w:eastAsia="Times New Roman" w:hAnsi="Arial" w:cs="Arial"/>
          <w:color w:val="57585B"/>
          <w:sz w:val="18"/>
          <w:szCs w:val="18"/>
        </w:rPr>
        <w:t xml:space="preserve"> A description or characterization that exaggerates or distorts a character’s prominent features, usually for purposes of mockery. For example, a cartoon of a gaunt Abraham Lincoln with a giant top hat, a very scraggly beard, and sunken eyes could be considered a caricature.</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Cliché:</w:t>
      </w:r>
      <w:r w:rsidRPr="00F100B6">
        <w:rPr>
          <w:rFonts w:ascii="Arial" w:eastAsia="Times New Roman" w:hAnsi="Arial" w:cs="Arial"/>
          <w:color w:val="57585B"/>
          <w:sz w:val="18"/>
          <w:szCs w:val="18"/>
        </w:rPr>
        <w:t xml:space="preserve"> An expression, such as “turn over a new leaf,” that has been used and reused so many times that it has lost its expressive power.</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Epiphany:</w:t>
      </w:r>
      <w:r w:rsidRPr="00F100B6">
        <w:rPr>
          <w:rFonts w:ascii="Arial" w:eastAsia="Times New Roman" w:hAnsi="Arial" w:cs="Arial"/>
          <w:color w:val="57585B"/>
          <w:sz w:val="18"/>
          <w:szCs w:val="18"/>
        </w:rPr>
        <w:t xml:space="preserve"> A sudden, powerful, and often spiritual or life changing realization that a character experiences in an otherwise ordinary moment. For example, the main character in James Joyce’s </w:t>
      </w:r>
      <w:r w:rsidRPr="00F100B6">
        <w:rPr>
          <w:rFonts w:ascii="Arial" w:eastAsia="Times New Roman" w:hAnsi="Arial" w:cs="Arial"/>
          <w:b/>
          <w:bCs/>
          <w:color w:val="57585B"/>
          <w:sz w:val="18"/>
          <w:szCs w:val="18"/>
        </w:rPr>
        <w:t>A Portrait of the Artist as a Young Man</w:t>
      </w:r>
      <w:r w:rsidRPr="00F100B6">
        <w:rPr>
          <w:rFonts w:ascii="Arial" w:eastAsia="Times New Roman" w:hAnsi="Arial" w:cs="Arial"/>
          <w:color w:val="57585B"/>
          <w:sz w:val="18"/>
          <w:szCs w:val="18"/>
        </w:rPr>
        <w:t xml:space="preserve"> has an epiphany during a walk by the sea.</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Foreshadowing:</w:t>
      </w:r>
      <w:r w:rsidRPr="00F100B6">
        <w:rPr>
          <w:rFonts w:ascii="Arial" w:eastAsia="Times New Roman" w:hAnsi="Arial" w:cs="Arial"/>
          <w:color w:val="57585B"/>
          <w:sz w:val="18"/>
          <w:szCs w:val="18"/>
        </w:rPr>
        <w:t xml:space="preserve"> An author’s deliberate use of hints or suggestions to give a preview of events or themes that do not develop until later in the narrative. Images such as a storm brewing or a crow landing on a fence post often foreshadow ominous developments in a story.</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Hyperbole:</w:t>
      </w:r>
      <w:r w:rsidRPr="00F100B6">
        <w:rPr>
          <w:rFonts w:ascii="Arial" w:eastAsia="Times New Roman" w:hAnsi="Arial" w:cs="Arial"/>
          <w:color w:val="57585B"/>
          <w:sz w:val="18"/>
          <w:szCs w:val="18"/>
        </w:rPr>
        <w:t xml:space="preserve"> An excessive overstatement or conscious exaggeration of fact. “I’ve told you that a million times already” is a hyperbolic statement.</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Idiom:</w:t>
      </w:r>
      <w:r w:rsidRPr="00F100B6">
        <w:rPr>
          <w:rFonts w:ascii="Arial" w:eastAsia="Times New Roman" w:hAnsi="Arial" w:cs="Arial"/>
          <w:color w:val="57585B"/>
          <w:sz w:val="18"/>
          <w:szCs w:val="18"/>
        </w:rPr>
        <w:t xml:space="preserve"> A common expression that has acquired a meaning that differs from its literal meaning, such as “It’s raining cats and dogs” or “That cost me an arm and a leg.”</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Imagery:</w:t>
      </w:r>
      <w:r w:rsidRPr="00F100B6">
        <w:rPr>
          <w:rFonts w:ascii="Arial" w:eastAsia="Times New Roman" w:hAnsi="Arial" w:cs="Arial"/>
          <w:color w:val="57585B"/>
          <w:sz w:val="18"/>
          <w:szCs w:val="18"/>
        </w:rPr>
        <w:t xml:space="preserve"> Language that brings to mind sensory impressions. For example, in the </w:t>
      </w:r>
      <w:r w:rsidRPr="00F100B6">
        <w:rPr>
          <w:rFonts w:ascii="Arial" w:eastAsia="Times New Roman" w:hAnsi="Arial" w:cs="Arial"/>
          <w:i/>
          <w:iCs/>
          <w:color w:val="57585B"/>
          <w:sz w:val="18"/>
          <w:szCs w:val="18"/>
        </w:rPr>
        <w:t>Odyssey,</w:t>
      </w:r>
      <w:r w:rsidRPr="00F100B6">
        <w:rPr>
          <w:rFonts w:ascii="Arial" w:eastAsia="Times New Roman" w:hAnsi="Arial" w:cs="Arial"/>
          <w:color w:val="57585B"/>
          <w:sz w:val="18"/>
          <w:szCs w:val="18"/>
        </w:rPr>
        <w:t xml:space="preserve"> Homer creates a powerful image with his description of “rosy-fingered dawn.”</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Irony:</w:t>
      </w:r>
      <w:r w:rsidRPr="00F100B6">
        <w:rPr>
          <w:rFonts w:ascii="Arial" w:eastAsia="Times New Roman" w:hAnsi="Arial" w:cs="Arial"/>
          <w:color w:val="57585B"/>
          <w:sz w:val="18"/>
          <w:szCs w:val="18"/>
        </w:rPr>
        <w:t xml:space="preserve"> Broadly speaking, irony is a device that emphasizes the contrast between the way things are expected to be and the way they actually are. A historical example of irony might be the fact that people in medieval Europe believed bathing would harm them when in fact not bathing led to the unsanitary conditions that caused the bubonic plague.</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Metaphor:</w:t>
      </w:r>
      <w:r w:rsidRPr="00F100B6">
        <w:rPr>
          <w:rFonts w:ascii="Arial" w:eastAsia="Times New Roman" w:hAnsi="Arial" w:cs="Arial"/>
          <w:color w:val="57585B"/>
          <w:sz w:val="18"/>
          <w:szCs w:val="18"/>
        </w:rPr>
        <w:t xml:space="preserve"> The comparison of one thing to another that does not use the terms “like” or “as.” A metaphor from Shakespeare’s </w:t>
      </w:r>
      <w:r w:rsidRPr="00F100B6">
        <w:rPr>
          <w:rFonts w:ascii="Arial" w:eastAsia="Times New Roman" w:hAnsi="Arial" w:cs="Arial"/>
          <w:i/>
          <w:iCs/>
          <w:color w:val="57585B"/>
          <w:sz w:val="18"/>
          <w:szCs w:val="18"/>
        </w:rPr>
        <w:t>Macbeth:</w:t>
      </w:r>
      <w:r w:rsidRPr="00F100B6">
        <w:rPr>
          <w:rFonts w:ascii="Arial" w:eastAsia="Times New Roman" w:hAnsi="Arial" w:cs="Arial"/>
          <w:color w:val="57585B"/>
          <w:sz w:val="18"/>
          <w:szCs w:val="18"/>
        </w:rPr>
        <w:t xml:space="preserve"> “Life is but a walking shadow.”</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Motif:</w:t>
      </w:r>
      <w:r w:rsidRPr="00F100B6">
        <w:rPr>
          <w:rFonts w:ascii="Arial" w:eastAsia="Times New Roman" w:hAnsi="Arial" w:cs="Arial"/>
          <w:color w:val="57585B"/>
          <w:sz w:val="18"/>
          <w:szCs w:val="18"/>
        </w:rPr>
        <w:t xml:space="preserve"> A recurring structure, contrast, or other device that develops a literary work’s major themes (</w:t>
      </w:r>
      <w:r w:rsidRPr="00F100B6">
        <w:rPr>
          <w:rFonts w:ascii="Arial" w:eastAsia="Times New Roman" w:hAnsi="Arial" w:cs="Arial"/>
          <w:i/>
          <w:iCs/>
          <w:color w:val="57585B"/>
          <w:sz w:val="18"/>
          <w:szCs w:val="18"/>
        </w:rPr>
        <w:t>see below</w:t>
      </w:r>
      <w:r w:rsidRPr="00F100B6">
        <w:rPr>
          <w:rFonts w:ascii="Arial" w:eastAsia="Times New Roman" w:hAnsi="Arial" w:cs="Arial"/>
          <w:color w:val="57585B"/>
          <w:sz w:val="18"/>
          <w:szCs w:val="18"/>
        </w:rPr>
        <w:t xml:space="preserve">). For example, shadows and darkness are a motif in Charles Dickens’s </w:t>
      </w:r>
      <w:r w:rsidRPr="00F100B6">
        <w:rPr>
          <w:rFonts w:ascii="Arial" w:eastAsia="Times New Roman" w:hAnsi="Arial" w:cs="Arial"/>
          <w:i/>
          <w:iCs/>
          <w:color w:val="57585B"/>
          <w:sz w:val="18"/>
          <w:szCs w:val="18"/>
        </w:rPr>
        <w:t>A Tale of Two Cities,</w:t>
      </w:r>
      <w:r w:rsidRPr="00F100B6">
        <w:rPr>
          <w:rFonts w:ascii="Arial" w:eastAsia="Times New Roman" w:hAnsi="Arial" w:cs="Arial"/>
          <w:color w:val="57585B"/>
          <w:sz w:val="18"/>
          <w:szCs w:val="18"/>
        </w:rPr>
        <w:t xml:space="preserve"> a novel that contains many gloomy scenes and settings.</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Onomatopoeia:</w:t>
      </w:r>
      <w:r w:rsidRPr="00F100B6">
        <w:rPr>
          <w:rFonts w:ascii="Arial" w:eastAsia="Times New Roman" w:hAnsi="Arial" w:cs="Arial"/>
          <w:color w:val="57585B"/>
          <w:sz w:val="18"/>
          <w:szCs w:val="18"/>
        </w:rPr>
        <w:t xml:space="preserve"> The use of words like </w:t>
      </w:r>
      <w:r w:rsidRPr="00F100B6">
        <w:rPr>
          <w:rFonts w:ascii="Arial" w:eastAsia="Times New Roman" w:hAnsi="Arial" w:cs="Arial"/>
          <w:i/>
          <w:iCs/>
          <w:color w:val="57585B"/>
          <w:sz w:val="18"/>
          <w:szCs w:val="18"/>
        </w:rPr>
        <w:t>pop, hiss,</w:t>
      </w:r>
      <w:r w:rsidRPr="00F100B6">
        <w:rPr>
          <w:rFonts w:ascii="Arial" w:eastAsia="Times New Roman" w:hAnsi="Arial" w:cs="Arial"/>
          <w:color w:val="57585B"/>
          <w:sz w:val="18"/>
          <w:szCs w:val="18"/>
        </w:rPr>
        <w:t xml:space="preserve"> or </w:t>
      </w:r>
      <w:r w:rsidRPr="00F100B6">
        <w:rPr>
          <w:rFonts w:ascii="Arial" w:eastAsia="Times New Roman" w:hAnsi="Arial" w:cs="Arial"/>
          <w:i/>
          <w:iCs/>
          <w:color w:val="57585B"/>
          <w:sz w:val="18"/>
          <w:szCs w:val="18"/>
        </w:rPr>
        <w:t>boing,</w:t>
      </w:r>
      <w:r w:rsidRPr="00F100B6">
        <w:rPr>
          <w:rFonts w:ascii="Arial" w:eastAsia="Times New Roman" w:hAnsi="Arial" w:cs="Arial"/>
          <w:color w:val="57585B"/>
          <w:sz w:val="18"/>
          <w:szCs w:val="18"/>
        </w:rPr>
        <w:t xml:space="preserve"> in which the spoken sound resembles the actual sound.</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Oxymoron:</w:t>
      </w:r>
      <w:r w:rsidRPr="00F100B6">
        <w:rPr>
          <w:rFonts w:ascii="Arial" w:eastAsia="Times New Roman" w:hAnsi="Arial" w:cs="Arial"/>
          <w:color w:val="57585B"/>
          <w:sz w:val="18"/>
          <w:szCs w:val="18"/>
        </w:rPr>
        <w:t xml:space="preserve"> The association of two terms that seem to contradict each other, such as “same difference” or “wise fool.”</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Paradox:</w:t>
      </w:r>
      <w:r w:rsidRPr="00F100B6">
        <w:rPr>
          <w:rFonts w:ascii="Arial" w:eastAsia="Times New Roman" w:hAnsi="Arial" w:cs="Arial"/>
          <w:color w:val="57585B"/>
          <w:sz w:val="18"/>
          <w:szCs w:val="18"/>
        </w:rPr>
        <w:t xml:space="preserve"> A statement that seems contradictory on the surface but often expresses a deeper truth. One example is the line “All men destroy the things they love” from Oscar Wilde’s “The Ballad of Reading Gaol.”</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Personification:</w:t>
      </w:r>
      <w:r w:rsidRPr="00F100B6">
        <w:rPr>
          <w:rFonts w:ascii="Arial" w:eastAsia="Times New Roman" w:hAnsi="Arial" w:cs="Arial"/>
          <w:color w:val="57585B"/>
          <w:sz w:val="18"/>
          <w:szCs w:val="18"/>
        </w:rPr>
        <w:t xml:space="preserve"> The use of human characteristics to describe animals, things, or ideas. Carl Sandburg’s poem “Chicago” describes the city as “Stormy, husky, brawling / City of the Big Shoulders.”</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Pun:</w:t>
      </w:r>
      <w:r w:rsidRPr="00F100B6">
        <w:rPr>
          <w:rFonts w:ascii="Arial" w:eastAsia="Times New Roman" w:hAnsi="Arial" w:cs="Arial"/>
          <w:color w:val="57585B"/>
          <w:sz w:val="18"/>
          <w:szCs w:val="18"/>
        </w:rPr>
        <w:t xml:space="preserve"> A play on words that uses the similarity in sound between two words with distinctly different meanings. For example, the title of Oscar Wilde’s play </w:t>
      </w:r>
      <w:r w:rsidRPr="00F100B6">
        <w:rPr>
          <w:rFonts w:ascii="Arial" w:eastAsia="Times New Roman" w:hAnsi="Arial" w:cs="Arial"/>
          <w:i/>
          <w:iCs/>
          <w:color w:val="57585B"/>
          <w:sz w:val="18"/>
          <w:szCs w:val="18"/>
        </w:rPr>
        <w:t>The Importance of Being Earnest</w:t>
      </w:r>
      <w:r w:rsidRPr="00F100B6">
        <w:rPr>
          <w:rFonts w:ascii="Arial" w:eastAsia="Times New Roman" w:hAnsi="Arial" w:cs="Arial"/>
          <w:color w:val="57585B"/>
          <w:sz w:val="18"/>
          <w:szCs w:val="18"/>
        </w:rPr>
        <w:t xml:space="preserve"> is a pun on the word </w:t>
      </w:r>
      <w:r w:rsidRPr="00F100B6">
        <w:rPr>
          <w:rFonts w:ascii="Arial" w:eastAsia="Times New Roman" w:hAnsi="Arial" w:cs="Arial"/>
          <w:i/>
          <w:iCs/>
          <w:color w:val="57585B"/>
          <w:sz w:val="18"/>
          <w:szCs w:val="18"/>
        </w:rPr>
        <w:t>earnest</w:t>
      </w:r>
      <w:r w:rsidRPr="00F100B6">
        <w:rPr>
          <w:rFonts w:ascii="Arial" w:eastAsia="Times New Roman" w:hAnsi="Arial" w:cs="Arial"/>
          <w:color w:val="57585B"/>
          <w:sz w:val="18"/>
          <w:szCs w:val="18"/>
        </w:rPr>
        <w:t>, which means serious or sober, and the name “Ernest.”</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Rhetorical question:</w:t>
      </w:r>
      <w:r w:rsidRPr="00F100B6">
        <w:rPr>
          <w:rFonts w:ascii="Arial" w:eastAsia="Times New Roman" w:hAnsi="Arial" w:cs="Arial"/>
          <w:color w:val="57585B"/>
          <w:sz w:val="18"/>
          <w:szCs w:val="18"/>
        </w:rPr>
        <w:t xml:space="preserve"> A question asked not to elicit an actual response but to make an impact or call attention to something. “Will the world ever see the end of war?” is an example of a rhetorical question.</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Sarcasm:</w:t>
      </w:r>
      <w:r w:rsidRPr="00F100B6">
        <w:rPr>
          <w:rFonts w:ascii="Arial" w:eastAsia="Times New Roman" w:hAnsi="Arial" w:cs="Arial"/>
          <w:color w:val="57585B"/>
          <w:sz w:val="18"/>
          <w:szCs w:val="18"/>
        </w:rPr>
        <w:t xml:space="preserve"> A form of verbal irony (</w:t>
      </w:r>
      <w:r w:rsidRPr="00F100B6">
        <w:rPr>
          <w:rFonts w:ascii="Arial" w:eastAsia="Times New Roman" w:hAnsi="Arial" w:cs="Arial"/>
          <w:i/>
          <w:iCs/>
          <w:color w:val="57585B"/>
          <w:sz w:val="18"/>
          <w:szCs w:val="18"/>
        </w:rPr>
        <w:t>see above</w:t>
      </w:r>
      <w:r w:rsidRPr="00F100B6">
        <w:rPr>
          <w:rFonts w:ascii="Arial" w:eastAsia="Times New Roman" w:hAnsi="Arial" w:cs="Arial"/>
          <w:color w:val="57585B"/>
          <w:sz w:val="18"/>
          <w:szCs w:val="18"/>
        </w:rPr>
        <w:t>) in which it is obvious from context and tone that the speaker means the opposite of what he or she says. Saying “That was graceful” when someone trips and falls is an example of sarcasm.</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Simile:</w:t>
      </w:r>
      <w:r w:rsidRPr="00F100B6">
        <w:rPr>
          <w:rFonts w:ascii="Arial" w:eastAsia="Times New Roman" w:hAnsi="Arial" w:cs="Arial"/>
          <w:color w:val="57585B"/>
          <w:sz w:val="18"/>
          <w:szCs w:val="18"/>
        </w:rPr>
        <w:t xml:space="preserve"> A comparison of two things through the use of the words </w:t>
      </w:r>
      <w:r w:rsidRPr="00F100B6">
        <w:rPr>
          <w:rFonts w:ascii="Arial" w:eastAsia="Times New Roman" w:hAnsi="Arial" w:cs="Arial"/>
          <w:i/>
          <w:iCs/>
          <w:color w:val="57585B"/>
          <w:sz w:val="18"/>
          <w:szCs w:val="18"/>
        </w:rPr>
        <w:t>like</w:t>
      </w:r>
      <w:r w:rsidRPr="00F100B6">
        <w:rPr>
          <w:rFonts w:ascii="Arial" w:eastAsia="Times New Roman" w:hAnsi="Arial" w:cs="Arial"/>
          <w:color w:val="57585B"/>
          <w:sz w:val="18"/>
          <w:szCs w:val="18"/>
        </w:rPr>
        <w:t xml:space="preserve"> or </w:t>
      </w:r>
      <w:r w:rsidRPr="00F100B6">
        <w:rPr>
          <w:rFonts w:ascii="Arial" w:eastAsia="Times New Roman" w:hAnsi="Arial" w:cs="Arial"/>
          <w:i/>
          <w:iCs/>
          <w:color w:val="57585B"/>
          <w:sz w:val="18"/>
          <w:szCs w:val="18"/>
        </w:rPr>
        <w:t>as</w:t>
      </w:r>
      <w:r w:rsidRPr="00F100B6">
        <w:rPr>
          <w:rFonts w:ascii="Arial" w:eastAsia="Times New Roman" w:hAnsi="Arial" w:cs="Arial"/>
          <w:color w:val="57585B"/>
          <w:sz w:val="18"/>
          <w:szCs w:val="18"/>
        </w:rPr>
        <w:t xml:space="preserve">. The title of Robert </w:t>
      </w:r>
      <w:proofErr w:type="spellStart"/>
      <w:r w:rsidRPr="00F100B6">
        <w:rPr>
          <w:rFonts w:ascii="Arial" w:eastAsia="Times New Roman" w:hAnsi="Arial" w:cs="Arial"/>
          <w:color w:val="57585B"/>
          <w:sz w:val="18"/>
          <w:szCs w:val="18"/>
        </w:rPr>
        <w:t>Burns’s</w:t>
      </w:r>
      <w:proofErr w:type="spellEnd"/>
      <w:r w:rsidRPr="00F100B6">
        <w:rPr>
          <w:rFonts w:ascii="Arial" w:eastAsia="Times New Roman" w:hAnsi="Arial" w:cs="Arial"/>
          <w:color w:val="57585B"/>
          <w:sz w:val="18"/>
          <w:szCs w:val="18"/>
        </w:rPr>
        <w:t xml:space="preserve"> poem “My Love Is </w:t>
      </w:r>
      <w:proofErr w:type="gramStart"/>
      <w:r w:rsidRPr="00F100B6">
        <w:rPr>
          <w:rFonts w:ascii="Arial" w:eastAsia="Times New Roman" w:hAnsi="Arial" w:cs="Arial"/>
          <w:color w:val="57585B"/>
          <w:sz w:val="18"/>
          <w:szCs w:val="18"/>
        </w:rPr>
        <w:t>Like</w:t>
      </w:r>
      <w:proofErr w:type="gramEnd"/>
      <w:r w:rsidRPr="00F100B6">
        <w:rPr>
          <w:rFonts w:ascii="Arial" w:eastAsia="Times New Roman" w:hAnsi="Arial" w:cs="Arial"/>
          <w:color w:val="57585B"/>
          <w:sz w:val="18"/>
          <w:szCs w:val="18"/>
        </w:rPr>
        <w:t xml:space="preserve"> a Red, Red Rose” is a simile.</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Symbol:</w:t>
      </w:r>
      <w:r w:rsidRPr="00F100B6">
        <w:rPr>
          <w:rFonts w:ascii="Arial" w:eastAsia="Times New Roman" w:hAnsi="Arial" w:cs="Arial"/>
          <w:color w:val="57585B"/>
          <w:sz w:val="18"/>
          <w:szCs w:val="18"/>
        </w:rPr>
        <w:t xml:space="preserve"> An object, character, figure, place, or </w:t>
      </w:r>
      <w:proofErr w:type="spellStart"/>
      <w:r w:rsidRPr="00F100B6">
        <w:rPr>
          <w:rFonts w:ascii="Arial" w:eastAsia="Times New Roman" w:hAnsi="Arial" w:cs="Arial"/>
          <w:color w:val="57585B"/>
          <w:sz w:val="18"/>
          <w:szCs w:val="18"/>
        </w:rPr>
        <w:t>color</w:t>
      </w:r>
      <w:proofErr w:type="spellEnd"/>
      <w:r w:rsidRPr="00F100B6">
        <w:rPr>
          <w:rFonts w:ascii="Arial" w:eastAsia="Times New Roman" w:hAnsi="Arial" w:cs="Arial"/>
          <w:color w:val="57585B"/>
          <w:sz w:val="18"/>
          <w:szCs w:val="18"/>
        </w:rPr>
        <w:t xml:space="preserve"> used to represent an abstract idea or concept. For example, the two roads in Robert Frost’s poem “The Road Not Taken” symbolize the choice between two paths in life.</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Theme:</w:t>
      </w:r>
      <w:r w:rsidRPr="00F100B6">
        <w:rPr>
          <w:rFonts w:ascii="Arial" w:eastAsia="Times New Roman" w:hAnsi="Arial" w:cs="Arial"/>
          <w:color w:val="57585B"/>
          <w:sz w:val="18"/>
          <w:szCs w:val="18"/>
        </w:rPr>
        <w:t xml:space="preserve"> A fundamental, universal idea explored in a literary work. The struggle to achieve the American Dream, for example, is a common theme in 20th-century American literature.</w:t>
      </w:r>
    </w:p>
    <w:p w:rsidR="00F100B6" w:rsidRPr="00F100B6" w:rsidRDefault="00F100B6" w:rsidP="00F100B6">
      <w:pPr>
        <w:numPr>
          <w:ilvl w:val="0"/>
          <w:numId w:val="1"/>
        </w:numPr>
        <w:shd w:val="clear" w:color="auto" w:fill="FFFFFF"/>
        <w:spacing w:before="45" w:after="7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Thesis:</w:t>
      </w:r>
      <w:r w:rsidRPr="00F100B6">
        <w:rPr>
          <w:rFonts w:ascii="Arial" w:eastAsia="Times New Roman" w:hAnsi="Arial" w:cs="Arial"/>
          <w:color w:val="57585B"/>
          <w:sz w:val="18"/>
          <w:szCs w:val="18"/>
        </w:rPr>
        <w:t xml:space="preserve"> The central argument that an author makes in a work. For example, the thesis of Upton Sinclair’s </w:t>
      </w:r>
      <w:r w:rsidRPr="00F100B6">
        <w:rPr>
          <w:rFonts w:ascii="Arial" w:eastAsia="Times New Roman" w:hAnsi="Arial" w:cs="Arial"/>
          <w:i/>
          <w:iCs/>
          <w:color w:val="57585B"/>
          <w:sz w:val="18"/>
          <w:szCs w:val="18"/>
        </w:rPr>
        <w:t>The Jungle</w:t>
      </w:r>
      <w:r w:rsidRPr="00F100B6">
        <w:rPr>
          <w:rFonts w:ascii="Arial" w:eastAsia="Times New Roman" w:hAnsi="Arial" w:cs="Arial"/>
          <w:color w:val="57585B"/>
          <w:sz w:val="18"/>
          <w:szCs w:val="18"/>
        </w:rPr>
        <w:t xml:space="preserve"> is that Chicago meat packing plants subject poor immigrants to horrible and unjust working conditions, and that the government must do something to address the problem.</w:t>
      </w:r>
    </w:p>
    <w:p w:rsidR="00F100B6" w:rsidRPr="00F100B6" w:rsidRDefault="00F100B6" w:rsidP="00F100B6">
      <w:pPr>
        <w:numPr>
          <w:ilvl w:val="0"/>
          <w:numId w:val="1"/>
        </w:numPr>
        <w:shd w:val="clear" w:color="auto" w:fill="FFFFFF"/>
        <w:spacing w:before="45" w:line="270" w:lineRule="atLeast"/>
        <w:rPr>
          <w:rFonts w:ascii="Arial" w:eastAsia="Times New Roman" w:hAnsi="Arial" w:cs="Arial"/>
          <w:color w:val="57585B"/>
          <w:sz w:val="18"/>
          <w:szCs w:val="18"/>
        </w:rPr>
      </w:pPr>
      <w:r w:rsidRPr="00F100B6">
        <w:rPr>
          <w:rFonts w:ascii="Arial" w:eastAsia="Times New Roman" w:hAnsi="Arial" w:cs="Arial"/>
          <w:b/>
          <w:bCs/>
          <w:color w:val="57585B"/>
          <w:sz w:val="18"/>
          <w:szCs w:val="18"/>
        </w:rPr>
        <w:t>Tone:</w:t>
      </w:r>
      <w:r w:rsidRPr="00F100B6">
        <w:rPr>
          <w:rFonts w:ascii="Arial" w:eastAsia="Times New Roman" w:hAnsi="Arial" w:cs="Arial"/>
          <w:color w:val="57585B"/>
          <w:sz w:val="18"/>
          <w:szCs w:val="18"/>
        </w:rPr>
        <w:t xml:space="preserve"> The general atmosphere created in a story, or the author’s or narrator’s attitude toward the story or the subject. For example, the tone of the Declaration of Independence is determined and confident.</w:t>
      </w:r>
    </w:p>
    <w:p w:rsidR="006859DD" w:rsidRDefault="00F100B6"/>
    <w:sectPr w:rsidR="0068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239C4E73"/>
    <w:multiLevelType w:val="multilevel"/>
    <w:tmpl w:val="B73C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B6"/>
    <w:rsid w:val="00D34C5F"/>
    <w:rsid w:val="00F100B6"/>
    <w:rsid w:val="00F607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0B6"/>
    <w:pPr>
      <w:spacing w:before="100" w:beforeAutospacing="1" w:after="100" w:afterAutospacing="1" w:line="240" w:lineRule="auto"/>
      <w:outlineLvl w:val="0"/>
    </w:pPr>
    <w:rPr>
      <w:rFonts w:ascii="Arial" w:eastAsia="Times New Roman" w:hAnsi="Arial" w:cs="Arial"/>
      <w:b/>
      <w:bCs/>
      <w:color w:val="02669B"/>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B6"/>
    <w:rPr>
      <w:rFonts w:ascii="Arial" w:eastAsia="Times New Roman" w:hAnsi="Arial" w:cs="Arial"/>
      <w:b/>
      <w:bCs/>
      <w:color w:val="02669B"/>
      <w:kern w:val="36"/>
      <w:sz w:val="21"/>
      <w:szCs w:val="21"/>
    </w:rPr>
  </w:style>
  <w:style w:type="paragraph" w:styleId="NormalWeb">
    <w:name w:val="Normal (Web)"/>
    <w:basedOn w:val="Normal"/>
    <w:uiPriority w:val="99"/>
    <w:semiHidden/>
    <w:unhideWhenUsed/>
    <w:rsid w:val="00F100B6"/>
    <w:pPr>
      <w:spacing w:before="45" w:after="75" w:line="240" w:lineRule="auto"/>
    </w:pPr>
    <w:rPr>
      <w:rFonts w:ascii="Times New Roman" w:eastAsia="Times New Roman" w:hAnsi="Times New Roman" w:cs="Times New Roman"/>
      <w:sz w:val="24"/>
      <w:szCs w:val="24"/>
    </w:rPr>
  </w:style>
  <w:style w:type="character" w:customStyle="1" w:styleId="keyconcept1">
    <w:name w:val="keyconcept1"/>
    <w:basedOn w:val="DefaultParagraphFont"/>
    <w:rsid w:val="00F100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00B6"/>
    <w:pPr>
      <w:spacing w:before="100" w:beforeAutospacing="1" w:after="100" w:afterAutospacing="1" w:line="240" w:lineRule="auto"/>
      <w:outlineLvl w:val="0"/>
    </w:pPr>
    <w:rPr>
      <w:rFonts w:ascii="Arial" w:eastAsia="Times New Roman" w:hAnsi="Arial" w:cs="Arial"/>
      <w:b/>
      <w:bCs/>
      <w:color w:val="02669B"/>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0B6"/>
    <w:rPr>
      <w:rFonts w:ascii="Arial" w:eastAsia="Times New Roman" w:hAnsi="Arial" w:cs="Arial"/>
      <w:b/>
      <w:bCs/>
      <w:color w:val="02669B"/>
      <w:kern w:val="36"/>
      <w:sz w:val="21"/>
      <w:szCs w:val="21"/>
    </w:rPr>
  </w:style>
  <w:style w:type="paragraph" w:styleId="NormalWeb">
    <w:name w:val="Normal (Web)"/>
    <w:basedOn w:val="Normal"/>
    <w:uiPriority w:val="99"/>
    <w:semiHidden/>
    <w:unhideWhenUsed/>
    <w:rsid w:val="00F100B6"/>
    <w:pPr>
      <w:spacing w:before="45" w:after="75" w:line="240" w:lineRule="auto"/>
    </w:pPr>
    <w:rPr>
      <w:rFonts w:ascii="Times New Roman" w:eastAsia="Times New Roman" w:hAnsi="Times New Roman" w:cs="Times New Roman"/>
      <w:sz w:val="24"/>
      <w:szCs w:val="24"/>
    </w:rPr>
  </w:style>
  <w:style w:type="character" w:customStyle="1" w:styleId="keyconcept1">
    <w:name w:val="keyconcept1"/>
    <w:basedOn w:val="DefaultParagraphFont"/>
    <w:rsid w:val="00F10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13922">
      <w:bodyDiv w:val="1"/>
      <w:marLeft w:val="0"/>
      <w:marRight w:val="0"/>
      <w:marTop w:val="0"/>
      <w:marBottom w:val="0"/>
      <w:divBdr>
        <w:top w:val="none" w:sz="0" w:space="0" w:color="auto"/>
        <w:left w:val="none" w:sz="0" w:space="0" w:color="auto"/>
        <w:bottom w:val="none" w:sz="0" w:space="0" w:color="auto"/>
        <w:right w:val="none" w:sz="0" w:space="0" w:color="auto"/>
      </w:divBdr>
      <w:divsChild>
        <w:div w:id="923995853">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30439387">
              <w:marLeft w:val="0"/>
              <w:marRight w:val="0"/>
              <w:marTop w:val="120"/>
              <w:marBottom w:val="150"/>
              <w:divBdr>
                <w:top w:val="none" w:sz="0" w:space="0" w:color="auto"/>
                <w:left w:val="none" w:sz="0" w:space="0" w:color="auto"/>
                <w:bottom w:val="none" w:sz="0" w:space="0" w:color="auto"/>
                <w:right w:val="none" w:sz="0" w:space="0" w:color="auto"/>
              </w:divBdr>
              <w:divsChild>
                <w:div w:id="18951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userprofile</dc:creator>
  <cp:lastModifiedBy>userprofile</cp:lastModifiedBy>
  <cp:revision>1</cp:revision>
  <dcterms:created xsi:type="dcterms:W3CDTF">2013-08-15T01:58:00Z</dcterms:created>
  <dcterms:modified xsi:type="dcterms:W3CDTF">2013-08-15T02:05:00Z</dcterms:modified>
</cp:coreProperties>
</file>